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536895" w:rsidRDefault="00347F7D" w:rsidP="00536895">
      <w:pPr>
        <w:pStyle w:val="Styl1"/>
      </w:pPr>
      <w:r>
        <w:t>Ustalenia zawarte w niniejszej Specyfikacji Technicznej dotyczą zasad prowadzenia robót związanych z wykonaniem oznakowania poziomego i obejmuje ozn</w:t>
      </w:r>
      <w:r w:rsidR="00536895">
        <w:t xml:space="preserve">akowanie </w:t>
      </w:r>
      <w:r w:rsidR="00E56F28">
        <w:t>grubowarstwowe</w:t>
      </w:r>
      <w:bookmarkStart w:id="0" w:name="_GoBack"/>
      <w:bookmarkEnd w:id="0"/>
      <w:r w:rsidR="00536895">
        <w:t>e stałe.</w:t>
      </w:r>
    </w:p>
    <w:p w:rsidR="00536895" w:rsidRDefault="00536895" w:rsidP="0053689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1.4.3. Masa chemoutwardzalna – materiał stosowany do grubowarstwowego poziomego znakowania dróg, przeznaczony do wykonywania wszystkich rodzajów poziomych </w:t>
      </w:r>
      <w:proofErr w:type="spellStart"/>
      <w:r>
        <w:t>oznakowań</w:t>
      </w:r>
      <w:proofErr w:type="spellEnd"/>
      <w:r>
        <w:t xml:space="preserve"> dróg. Ze względu na trwałość oznakowania może być stosowany w miejscach często lub stale przejeżdżanych przez pojazdy.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1.4.4. Kulki szklane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sposób. Zalicza się do nich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Każdy materiał używany przez Wykonawcę do poziomego znakowania dróg musi posiadać Aprobatę Techniczną dopuszczającą do stosowania materiałów w budownictwie drogowym i mostowym, wydaną przez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lastRenderedPageBreak/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 xml:space="preserve">Muszą posiadać profilowaną wierzchnią powierzchnię  (światła rowków pomiędzy wzniesieniami nie mogą być wypełnione </w:t>
      </w:r>
      <w:proofErr w:type="spellStart"/>
      <w:r>
        <w:t>mikrokulkami</w:t>
      </w:r>
      <w:proofErr w:type="spellEnd"/>
      <w:r>
        <w:t xml:space="preserve">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taśm prefabrykowanych i wykonanych z nich elementów prefabrykowanych określają aprobaty techniczne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</w:t>
      </w:r>
      <w:proofErr w:type="spellStart"/>
      <w:r>
        <w:t>mikrokulkami</w:t>
      </w:r>
      <w:proofErr w:type="spellEnd"/>
      <w:r>
        <w:t xml:space="preserve">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malowarki</w:t>
      </w:r>
      <w:proofErr w:type="spellEnd"/>
      <w:r>
        <w:t xml:space="preserve">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Farby rozpuszczalnikowe, rozpuszczalniki palne oraz farby i masy chemoutwardzalne należy transportować zgodnie z postanowieniami umowy międzynarodowej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5.2.3. </w:t>
      </w:r>
      <w:proofErr w:type="spellStart"/>
      <w:r>
        <w:rPr>
          <w:bCs/>
        </w:rPr>
        <w:t>Przedznakowanie</w:t>
      </w:r>
      <w:proofErr w:type="spellEnd"/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Przed przystąpieniem do wykonania oznakowania poziomego należy wykonać </w:t>
      </w:r>
      <w:proofErr w:type="spellStart"/>
      <w:r>
        <w:rPr>
          <w:bCs/>
        </w:rPr>
        <w:t>przedznakowanie</w:t>
      </w:r>
      <w:proofErr w:type="spellEnd"/>
      <w:r>
        <w:rPr>
          <w:bCs/>
        </w:rPr>
        <w:t>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 xml:space="preserve">4 min.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</w:t>
      </w:r>
      <w:proofErr w:type="spellStart"/>
      <w:r>
        <w:t>malowarki</w:t>
      </w:r>
      <w:proofErr w:type="spellEnd"/>
      <w:r>
        <w:t xml:space="preserve">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lastRenderedPageBreak/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</w:t>
      </w:r>
      <w:proofErr w:type="spellStart"/>
      <w:r>
        <w:t>mikrokule</w:t>
      </w:r>
      <w:proofErr w:type="spellEnd"/>
      <w:r>
        <w:t xml:space="preserve">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</w:t>
      </w:r>
      <w:proofErr w:type="spellStart"/>
      <w:r>
        <w:t>Qd</w:t>
      </w:r>
      <w:proofErr w:type="spellEnd"/>
      <w:r>
        <w:t>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proofErr w:type="spellStart"/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proofErr w:type="spellEnd"/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proofErr w:type="spellStart"/>
      <w:r>
        <w:t>Q</w:t>
      </w:r>
      <w:r>
        <w:rPr>
          <w:vertAlign w:val="subscript"/>
        </w:rPr>
        <w:t>d</w:t>
      </w:r>
      <w:proofErr w:type="spellEnd"/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lastRenderedPageBreak/>
        <w:t xml:space="preserve">Powyższe wymaganie dotyczy jedynie </w:t>
      </w:r>
      <w:proofErr w:type="spellStart"/>
      <w:r>
        <w:t>oznakowań</w:t>
      </w:r>
      <w:proofErr w:type="spellEnd"/>
      <w:r>
        <w:t xml:space="preserve"> profilowanych, takich jak oznakowanie strukturalne wykonywane masami termoplastycznymi w postaci np. poprzecznych </w:t>
      </w:r>
      <w:proofErr w:type="spellStart"/>
      <w:r>
        <w:t>wygarbień</w:t>
      </w:r>
      <w:proofErr w:type="spellEnd"/>
      <w:r>
        <w:t xml:space="preserve"> (baretek), drop-on-</w:t>
      </w:r>
      <w:proofErr w:type="spellStart"/>
      <w:r>
        <w:t>line</w:t>
      </w:r>
      <w:proofErr w:type="spellEnd"/>
      <w:r>
        <w:t xml:space="preserve"> itp.</w:t>
      </w:r>
    </w:p>
    <w:p w:rsidR="00347F7D" w:rsidRDefault="00347F7D" w:rsidP="000941A5">
      <w:pPr>
        <w:pStyle w:val="Styl1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Wykonywanie pomiarów odblaskowości na pozostałych typach oznakowania strukturalnego z uwagi na 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Czas schnięcia oznakowania nie powinien przekraczać czasu gwarantowanego przez producenta, z tym że nie może przekraczać 2 godzin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 xml:space="preserve">iar poziomych wymiarów oznakowania, na zgodność z dokumentacją projektową i Rozporządzeniem Ministra Infrastruktury z dn. 03.07.2003 r. w sprawie szczegółowych warunków technicznych dla znaków i sygnałów drogowych oraz urządzeń bezpieczeństwa </w:t>
      </w:r>
      <w:r>
        <w:lastRenderedPageBreak/>
        <w:t>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</w:t>
      </w:r>
      <w:proofErr w:type="spellStart"/>
      <w:r>
        <w:t>oznakowań</w:t>
      </w:r>
      <w:proofErr w:type="spellEnd"/>
      <w:r>
        <w:t xml:space="preserve">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odbiór robót zanikających i ulegających zakryciu - oczyszczenie nawierzchni przed znakowaniem, </w:t>
      </w: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lastRenderedPageBreak/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Default="004365D0" w:rsidP="000941A5">
      <w:pPr>
        <w:pStyle w:val="Styl1"/>
      </w:pPr>
    </w:p>
    <w:p w:rsidR="004365D0" w:rsidRPr="0084625B" w:rsidRDefault="004365D0" w:rsidP="000941A5">
      <w:pPr>
        <w:pStyle w:val="Styl1"/>
      </w:pPr>
    </w:p>
    <w:sectPr w:rsidR="004365D0" w:rsidRPr="0084625B" w:rsidSect="005368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2D9" w:rsidRDefault="002F42D9" w:rsidP="00324ACD">
      <w:r>
        <w:separator/>
      </w:r>
    </w:p>
  </w:endnote>
  <w:endnote w:type="continuationSeparator" w:id="0">
    <w:p w:rsidR="002F42D9" w:rsidRDefault="002F42D9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400906081"/>
      <w:docPartObj>
        <w:docPartGallery w:val="Page Numbers (Bottom of Page)"/>
        <w:docPartUnique/>
      </w:docPartObj>
    </w:sdtPr>
    <w:sdtEndPr/>
    <w:sdtContent>
      <w:p w:rsidR="00285D97" w:rsidRPr="00536895" w:rsidRDefault="00285D97">
        <w:pPr>
          <w:pStyle w:val="Stopka"/>
          <w:jc w:val="center"/>
          <w:rPr>
            <w:rFonts w:ascii="Arial" w:hAnsi="Arial" w:cs="Arial"/>
            <w:sz w:val="20"/>
          </w:rPr>
        </w:pPr>
        <w:r w:rsidRPr="00536895">
          <w:rPr>
            <w:rFonts w:ascii="Arial" w:hAnsi="Arial" w:cs="Arial"/>
            <w:sz w:val="20"/>
          </w:rPr>
          <w:fldChar w:fldCharType="begin"/>
        </w:r>
        <w:r w:rsidRPr="00536895">
          <w:rPr>
            <w:rFonts w:ascii="Arial" w:hAnsi="Arial" w:cs="Arial"/>
            <w:sz w:val="20"/>
          </w:rPr>
          <w:instrText>PAGE   \* MERGEFORMAT</w:instrText>
        </w:r>
        <w:r w:rsidRPr="00536895">
          <w:rPr>
            <w:rFonts w:ascii="Arial" w:hAnsi="Arial" w:cs="Arial"/>
            <w:sz w:val="20"/>
          </w:rPr>
          <w:fldChar w:fldCharType="separate"/>
        </w:r>
        <w:r w:rsidR="00E56F28">
          <w:rPr>
            <w:rFonts w:ascii="Arial" w:hAnsi="Arial" w:cs="Arial"/>
            <w:noProof/>
            <w:sz w:val="20"/>
          </w:rPr>
          <w:t>144</w:t>
        </w:r>
        <w:r w:rsidRPr="00536895">
          <w:rPr>
            <w:rFonts w:ascii="Arial" w:hAnsi="Arial" w:cs="Arial"/>
            <w:sz w:val="20"/>
          </w:rP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2D9" w:rsidRDefault="002F42D9" w:rsidP="00324ACD">
      <w:r>
        <w:separator/>
      </w:r>
    </w:p>
  </w:footnote>
  <w:footnote w:type="continuationSeparator" w:id="0">
    <w:p w:rsidR="002F42D9" w:rsidRDefault="002F42D9" w:rsidP="00324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895" w:rsidRPr="00536895" w:rsidRDefault="00536895" w:rsidP="0053689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>
      <w:rPr>
        <w:rFonts w:ascii="Arial" w:hAnsi="Arial" w:cs="Arial"/>
        <w:sz w:val="22"/>
      </w:rPr>
      <w:t xml:space="preserve">D.07.01.01       </w:t>
    </w:r>
    <w:r w:rsidRPr="00536895">
      <w:rPr>
        <w:rFonts w:ascii="Arial" w:hAnsi="Arial" w:cs="Arial"/>
        <w:sz w:val="22"/>
      </w:rPr>
      <w:t>OZNAKOWANIE POZIOME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25092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5D97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42D9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365D0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36895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65C9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0BE2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56F28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8B56E-C5F8-4419-98C7-4CFA40A4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4266</Words>
  <Characters>25601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15</cp:revision>
  <dcterms:created xsi:type="dcterms:W3CDTF">2015-01-11T18:02:00Z</dcterms:created>
  <dcterms:modified xsi:type="dcterms:W3CDTF">2014-03-24T21:22:00Z</dcterms:modified>
</cp:coreProperties>
</file>